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1C602C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1C602C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1C6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264B1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1C602C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Ручная уборка автодорог.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264B1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1C602C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Механическая уборка автодорог.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264B1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1C602C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Полив, мойка автодорог.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Горловка,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602C">
        <w:rPr>
          <w:rFonts w:ascii="Times New Roman" w:hAnsi="Times New Roman"/>
          <w:i/>
          <w:sz w:val="24"/>
          <w:szCs w:val="24"/>
        </w:rPr>
        <w:t>тер.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1C602C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lastRenderedPageBreak/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3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1C6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02C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1C602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1C602C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конкурсным закупкам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1C602C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63E6E" w:rsidRPr="001C602C" w:rsidRDefault="00483E93" w:rsidP="001C602C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563E6E" w:rsidRPr="001C602C" w:rsidSect="001C602C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5F" w:rsidRDefault="0070515F" w:rsidP="00111375">
      <w:pPr>
        <w:spacing w:after="0" w:line="240" w:lineRule="auto"/>
      </w:pPr>
      <w:r>
        <w:separator/>
      </w:r>
    </w:p>
  </w:endnote>
  <w:endnote w:type="continuationSeparator" w:id="1">
    <w:p w:rsidR="0070515F" w:rsidRDefault="0070515F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5F" w:rsidRDefault="0070515F" w:rsidP="00111375">
      <w:pPr>
        <w:spacing w:after="0" w:line="240" w:lineRule="auto"/>
      </w:pPr>
      <w:r>
        <w:separator/>
      </w:r>
    </w:p>
  </w:footnote>
  <w:footnote w:type="continuationSeparator" w:id="1">
    <w:p w:rsidR="0070515F" w:rsidRDefault="0070515F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E413CB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264B1F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C602C"/>
    <w:rsid w:val="001F62A5"/>
    <w:rsid w:val="00264B1F"/>
    <w:rsid w:val="00285385"/>
    <w:rsid w:val="002C7629"/>
    <w:rsid w:val="00301E29"/>
    <w:rsid w:val="00333F05"/>
    <w:rsid w:val="00337ED7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0515F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13CB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2019-09-09T06:20:00Z</dcterms:modified>
</cp:coreProperties>
</file>